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eKFV — Besonderheiten bei angeordneten Verkehrsverboten nach der Straßenverkehrs-Ordnung</w:t>
      </w:r>
    </w:p>
    <w:p>
      <w:r>
        <w:rPr>
          <w:color w:val="555555"/>
          <w:sz w:val="18"/>
        </w:rPr>
        <w:t xml:space="preserve">Elektrokleinstfahrzeuge-Verordnung</w:t>
      </w:r>
    </w:p>
    <w:p>
      <w:r>
        <w:rPr>
          <w:color w:val="555555"/>
          <w:sz w:val="18"/>
        </w:rPr>
        <w:t xml:space="preserve">Stand: 15.06.2019 (konsolidierte Textfassung, kein amtliches Inkrafttretensdatum)</w:t>
      </w:r>
    </w:p>
    <w:p>
      <w:r>
        <w:t xml:space="preserve">(1) Ist ein Verbot für Fahrzeuge aller Art (Zeichen 250 der Anlage 2 zur Straßenverkehrs-Ordnung) angeordnet, so dürfen Elektrokleinstfahrzeuge dort geschoben werden.</w:t>
      </w:r>
    </w:p>
    <w:p>
      <w:r>
        <w:t xml:space="preserve">(2) Ist ein Verbot für Kraftwagen (Zeichen 251 der Anlage 2 zur Straßenverkehrs-Ordnung), ein Verbot für Krafträder (Zeichen 255 der Anlage 2 zur Straßenverkehrs-Ordnung), ein Verbot für Kraftfahrzeuge (Zeichen 260 der Anlage 2 zur Straßenverkehrs-Ordnung) oder ein Verbot der Einfahrt (Zeichen 267 der Anlage 2 zur Straßenverkehrs-Ordnung) angeordnet, so dürfen Elektrokleinstfahrzeuge dort nur fahren oder einfahren, wenn dies durch das Zusatzzeichen „Elektrokleinstfahrzeuge frei“ erlaubt ist.</w:t>
      </w:r>
    </w:p>
    <w:p>
      <w:r>
        <w:t xml:space="preserve">(3) Ist ein Verbot für den Radverkehr (Zeichen 254 der Anlage 2 zur Straßenverkehrs-Ordnung) angeordnet, so gilt dies auch für Elektrokleinstfahrzeuge.</w:t>
      </w:r>
    </w:p>
    <w:p>
      <w:r>
        <w:rPr>
          <w:color w:val="555555"/>
          <w:sz w:val="17"/>
        </w:rPr>
        <w:t xml:space="preserve">Zitiervorschlag: § 12 eKFV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