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eKFV — Allgemeine Verhaltensregeln</w:t>
      </w:r>
    </w:p>
    <w:p>
      <w:r>
        <w:rPr>
          <w:color w:val="555555"/>
          <w:sz w:val="18"/>
        </w:rPr>
        <w:t xml:space="preserve">Elektrokleinstfahrzeuge-Verordnung</w:t>
      </w:r>
    </w:p>
    <w:p>
      <w:r>
        <w:rPr>
          <w:color w:val="555555"/>
          <w:sz w:val="18"/>
        </w:rPr>
        <w:t xml:space="preserve">Stand: 15.06.2019 (konsolidierte Textfassung, kein amtliches Inkrafttretensdatum)</w:t>
      </w:r>
    </w:p>
    <w:p>
      <w:r>
        <w:t xml:space="preserve">(1) Wer ein Elektrokleinstfahrzeug führt, muss einzeln hintereinander fahren, darf sich nicht an fahrende Fahrzeuge anhängen und nicht freihändig fahren.</w:t>
      </w:r>
    </w:p>
    <w:p>
      <w:r>
        <w:t xml:space="preserve">(2) Mit Elektrokleinstfahrzeugen darf von dem Gebot, auf Fahrbahnen mit mehreren Fahrstreifen möglichst weit rechts zu fahren, nicht abgewichen werden.</w:t>
      </w:r>
    </w:p>
    <w:p>
      <w:r>
        <w:t xml:space="preserve">(3) Sind an einem Elektrokleinstfahrzeug keine Fahrtrichtungsanzeiger vorhanden, so muss wer ein Elektrokleinstfahrzeug führt, die Richtungsänderung so rechtzeitig und deutlich durch Handzeichen ankündigen, dass andere Verkehrsteilnehmer ihr Verhalten daran ausrichten können.</w:t>
      </w:r>
    </w:p>
    <w:p>
      <w:r>
        <w:t xml:space="preserve">(4) Wer ein Elektrokleinstfahrzeug auf Radverkehrsflächen führt, muss auf den Radverkehr Rücksicht nehmen und erforderlichenfalls die Geschwindigkeit an den Radverkehr anpassen. Wer ein Elektrokleinstfahrzeug führt, muss schnellerem Radverkehr das Überholen ohne Behinderung ermöglichen. Auf gemeinsamen Geh- und Radwegen (Zeichen 240 der Anlage 2 zur Straßenverkehrs-Ordnung) haben Fußgänger Vorrang und dürfen weder behindert noch gefährdet werden. Erforderlichenfalls muss die Geschwindigkeit an den Fußgängerverkehr angepasst werden.</w:t>
      </w:r>
    </w:p>
    <w:p>
      <w:r>
        <w:t xml:space="preserve">(5) Für das Abstellen von Elektrokleinstfahrzeugen gelten die für Fahrräder geltenden Parkvorschriften entsprechend.</w:t>
      </w:r>
    </w:p>
    <w:p>
      <w:r>
        <w:rPr>
          <w:color w:val="555555"/>
          <w:sz w:val="17"/>
        </w:rPr>
        <w:t xml:space="preserve">Zitiervorschlag: § 11 eKFV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https://recht.nulegal.eu/gesetze/eKFV/11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