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eIDKG — Sperrung und Entsperrung</w:t>
      </w:r>
    </w:p>
    <w:p>
      <w:r>
        <w:rPr>
          <w:color w:val="555555"/>
          <w:sz w:val="18"/>
        </w:rPr>
        <w:t xml:space="preserve">eID-Karte-Gesetz</w:t>
      </w:r>
    </w:p>
    <w:p>
      <w:r>
        <w:rPr>
          <w:color w:val="555555"/>
          <w:sz w:val="18"/>
        </w:rPr>
        <w:t xml:space="preserve">Stand: 08.11.2019 (konsolidierte Textfassung, kein amtliches Inkrafttretensdatum)</w:t>
      </w:r>
    </w:p>
    <w:p>
      <w:r>
        <w:t xml:space="preserve">(1) Die ausstellende eID-Karte-Behörde hat unverzüglich zur Aktualisierung der Sperrliste die Sperrsumme der eID-Karte an den Sperrlistenbetreiber zu übermitteln, wenn sie Kenntnis erlangt von</w:t>
      </w:r>
    </w:p>
    <w:p>
      <w:pPr>
        <w:ind w:left="420"/>
      </w:pPr>
      <w:r>
        <w:t xml:space="preserve">1. dem Abhandenkommen einer eID-Karte,</w:t>
      </w:r>
    </w:p>
    <w:p>
      <w:pPr>
        <w:ind w:left="420"/>
      </w:pPr>
      <w:r>
        <w:t xml:space="preserve">2. dem Versterben eines Karteninhabers oder</w:t>
      </w:r>
    </w:p>
    <w:p>
      <w:pPr>
        <w:ind w:left="420"/>
      </w:pPr>
      <w:r>
        <w:t xml:space="preserve">3. der Ungültigkeit einer nicht im Besitz der Behörde befindlichen eID-Karte nach § 21.</w:t>
      </w:r>
    </w:p>
    <w:p>
      <w:r>
        <w:t xml:space="preserve">(2) Der Karteninhaber kann durch Mitteilung des Sperrkennworts an den Sperrlistenbetreiber eine sofortige Sperrung des elektronischen Identitätsnachweises veranlassen. Davon unberührt bleibt die Pflicht, den Verlust oder das Abhandenkommen der eID-Karte nach § 20 Absatz 1 Nummer 3 der eID-Karte-Behörde anzuzeigen.</w:t>
      </w:r>
    </w:p>
    <w:p>
      <w:r>
        <w:t xml:space="preserve">(3) Der Sperrlistenbetreiber stellt den eID-Karte-Behörden für die Fälle nach Absatz 1 und den Karteninhabern für die Fälle nach Absatz 2 einen Sperrdienst über jederzeit öffentlich erreichbare Kommunikationsverbindungen zur Verfügung. § 10 Absatz 4 des Personalausweisgesetzes gilt entsprechend.</w:t>
      </w:r>
    </w:p>
    <w:p>
      <w:r>
        <w:t xml:space="preserve">(4) Teilt nach erfolgter Sperrung nach Absatz 1 der Karteninhaber das Wiederauffinden seiner eID-Karte unter den Voraussetzungen des § 8 Absatz 2 Satz 3 mit oder bittet er nach einer Sperrung nach Absatz 2 unter den Voraussetzungen des § 8 Absatz 2 Satz 3 um Entsperrung, so ersucht die eID-Karte-Behörde den Sperrlistenbetreiber um Löschung des Sperreintrags zu dieser eID-Karte.</w:t>
      </w:r>
    </w:p>
    <w:p>
      <w:r>
        <w:t xml:space="preserve">(5) Der Zeitpunkt der Meldung des Abhandenkommens eines Ausweises ist von der eID-Karte-Behörde oder Polizeibehörde zu dokumentieren und der ausstellenden eID-Karte-Behörde mitzuteilen.</w:t>
      </w:r>
    </w:p>
    <w:p>
      <w:r>
        <w:rPr>
          <w:color w:val="555555"/>
          <w:sz w:val="17"/>
        </w:rPr>
        <w:t xml:space="preserve">Zitiervorschlag: § 9 eIDKG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https://recht.nulegal.eu/gesetze/eIDKG/9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