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eIDKG — Örtliche Zuständigkeit</w:t>
      </w:r>
    </w:p>
    <w:p>
      <w:r>
        <w:rPr>
          <w:color w:val="555555"/>
          <w:sz w:val="18"/>
        </w:rPr>
        <w:t xml:space="preserve">eID-Karte-Gesetz</w:t>
      </w:r>
    </w:p>
    <w:p>
      <w:r>
        <w:rPr>
          <w:color w:val="555555"/>
          <w:sz w:val="18"/>
        </w:rPr>
        <w:t xml:space="preserve">Stand: 01.11.2023 (konsolidierte Textfassung, kein amtliches Inkrafttretensdatum)</w:t>
      </w:r>
    </w:p>
    <w:p>
      <w:r>
        <w:t xml:space="preserve">(1) Örtlich zuständig ist diejenige eID-Karte-Behörde, in deren Bezirk die antragstellende Person oder der Karteninhaber für seine Wohnung, bei mehreren Wohnungen für seine Hauptwohnung, meldepflichtig ist. Ist die Person nicht meldepflichtig, ist die eID-Karte-Behörde zuständig, in deren Bezirk die Person im Zeitpunkt der Antragstellung oder des die behördliche Tätigkeit auslösenden Ereignisses wohnt.</w:t>
      </w:r>
    </w:p>
    <w:p>
      <w:r>
        <w:t xml:space="preserve">(1a) Für das Führen des eID-Karte-Registers nach § 19 ist die eID-Karte-Behörde zuständig, welche die eID-Karte ausgestellt hat.</w:t>
      </w:r>
    </w:p>
    <w:p>
      <w:r>
        <w:t xml:space="preserve">(2) Im Ausland sind die vom Auswärtigen Amt bestimmten Auslandsvertretungen zuständig, in deren Bezirk sich die antragstellende Person oder der Karteninhaber gewöhnlich aufhält. Die antragstellende Person oder der Karteninhaber haben den Nachweis über ihren gewöhnlichen Aufenthaltsort zu erbringen.</w:t>
      </w:r>
    </w:p>
    <w:p>
      <w:r>
        <w:rPr>
          <w:color w:val="555555"/>
          <w:sz w:val="17"/>
        </w:rPr>
        <w:t xml:space="preserve">Zitiervorschlag: § 7 eIDKG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https://recht.nulegal.eu/gesetze/eIDKG/7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