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eIDKG — Sachliche Zuständigkeit</w:t>
      </w:r>
    </w:p>
    <w:p>
      <w:r>
        <w:rPr>
          <w:color w:val="555555"/>
          <w:sz w:val="18"/>
        </w:rPr>
        <w:t xml:space="preserve">eID-Karte-Gesetz</w:t>
      </w:r>
    </w:p>
    <w:p>
      <w:r>
        <w:rPr>
          <w:color w:val="555555"/>
          <w:sz w:val="18"/>
        </w:rPr>
        <w:t xml:space="preserve">Stand: 01.09.2021 (konsolidierte Textfassung, kein amtliches Inkrafttretensdatum)</w:t>
      </w:r>
    </w:p>
    <w:p>
      <w:r>
        <w:t xml:space="preserve">(1) Zuständig für Angelegenheiten, die die eID-Karte betreffen, sind:</w:t>
      </w:r>
    </w:p>
    <w:p>
      <w:pPr>
        <w:ind w:left="420"/>
      </w:pPr>
      <w:r>
        <w:t xml:space="preserve">1. in Deutschland die von den Ländern bestimmten Behörden,</w:t>
      </w:r>
    </w:p>
    <w:p>
      <w:pPr>
        <w:ind w:left="420"/>
      </w:pPr>
      <w:r>
        <w:t xml:space="preserve">2. im Ausland das Auswärtige Amt mit den von ihm bestimmten Auslandsvertretungen</w:t>
      </w:r>
    </w:p>
    <w:p>
      <w:r>
        <w:t xml:space="preserve">(eID-Karte-Behörden).</w:t>
      </w:r>
    </w:p>
    <w:p>
      <w:r>
        <w:t xml:space="preserve">(2) Für die Einziehung und Sicherstellung der eID-Karte sind neben den eID-Karte-Behörden auch die zur Identitätsfeststellung berechtigten Behörden (§ 2 Absatz 2 des Personalausweisgesetzes) zuständig.</w:t>
      </w:r>
    </w:p>
    <w:p>
      <w:r>
        <w:t xml:space="preserve">(3) Zuständig</w:t>
      </w:r>
    </w:p>
    <w:p>
      <w:pPr>
        <w:ind w:left="420"/>
      </w:pPr>
      <w:r>
        <w:t xml:space="preserve">1. für die Erteilung und Aufhebung von Berechtigungen nach den §§ 15 bis 17 ist die Vergabestelle für Berechtigungszertifikate nach § 3 Absatz 3 Nummer 2,</w:t>
      </w:r>
    </w:p>
    <w:p>
      <w:pPr>
        <w:ind w:left="420"/>
      </w:pPr>
      <w:r>
        <w:t xml:space="preserve">2. für das Führen einer Sperrliste nach § 9 Absatz 3 ist der Sperrlistenbetreiber nach § 3 Absatz 3 Nummer 3.</w:t>
      </w:r>
    </w:p>
    <w:p>
      <w:r>
        <w:t xml:space="preserve">(4) Für das elektronisch beantragte Neusetzen der Geheimnummer ist der Kartenhersteller zuständig.</w:t>
      </w:r>
    </w:p>
    <w:p>
      <w:r>
        <w:t xml:space="preserve">(5) Für die Übermittlung von Daten nach § 4 Absatz 4 Satz 2 aus dem Chip der eID-Karte auf ein elektronisches Speicher- und Verarbeitungsmedium in einem mobilen Endgerät nach § 8a Absatz 1 Satz 1 sowie für die Auskunft nach § 8a Absatz 5 ist der Kartenhersteller zuständig.</w:t>
      </w:r>
    </w:p>
    <w:p>
      <w:r>
        <w:rPr>
          <w:color w:val="555555"/>
          <w:sz w:val="17"/>
        </w:rPr>
        <w:t xml:space="preserve">Zitiervorschlag: § 6 eIDKG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https://recht.nulegal.eu/gesetze/eIDKG/6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