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eIDKG — Kartenmuster; Seriennummer; Chip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(1) Die eID-Karte wird nach einem einheitlichen Muster ausgestellt.</w:t>
      </w:r>
    </w:p>
    <w:p>
      <w:r>
        <w:t xml:space="preserve">(2) Jede eID-Karte erhält eine neue Seriennummer. Die Seriennummer, das Sperrkennwort und Sperrmerkmale dürfen keine Daten über die Person des Karteninhabers oder Hinweise auf solche Daten enthalten.</w:t>
      </w:r>
    </w:p>
    <w:p>
      <w:r>
        <w:t xml:space="preserve">(3) Die eID-Karte enthält neben der Seriennummer, der Angabe der ausstellenden Behörde, dem letzten Tag der Gültigkeitsdauer und der Zugangsnummer folgende sichtbar aufgebrachte Angaben über den Karteninhaber:</w:t>
      </w:r>
    </w:p>
    <w:p>
      <w:pPr>
        <w:ind w:left="420"/>
      </w:pPr>
      <w:r>
        <w:t xml:space="preserve">1. Familienname und Vornamen und</w:t>
      </w:r>
    </w:p>
    <w:p>
      <w:pPr>
        <w:ind w:left="420"/>
      </w:pPr>
      <w:r>
        <w:t xml:space="preserve">2. Tag und Ort der Geburt.</w:t>
      </w:r>
    </w:p>
    <w:p>
      <w:r>
        <w:t xml:space="preserve">(4) Die eID-Karte besitzt ein elektronisches Speicher- und Verarbeitungsmedium (Chip), auf dem folgende Daten gespeichert werden:</w:t>
      </w:r>
    </w:p>
    <w:p>
      <w:pPr>
        <w:ind w:left="420"/>
      </w:pPr>
      <w:r>
        <w:t xml:space="preserve">1. Familienname und Geburtsname,</w:t>
      </w:r>
    </w:p>
    <w:p>
      <w:pPr>
        <w:ind w:left="420"/>
      </w:pPr>
      <w:r>
        <w:t xml:space="preserve">2. Vornamen,</w:t>
      </w:r>
    </w:p>
    <w:p>
      <w:pPr>
        <w:ind w:left="420"/>
      </w:pPr>
      <w:r>
        <w:t xml:space="preserve">3. Doktorgrad,</w:t>
      </w:r>
    </w:p>
    <w:p>
      <w:pPr>
        <w:ind w:left="420"/>
      </w:pPr>
      <w:r>
        <w:t xml:space="preserve">4. Tag und Ort der Geburt,</w:t>
      </w:r>
    </w:p>
    <w:p>
      <w:pPr>
        <w:ind w:left="420"/>
      </w:pPr>
      <w:r>
        <w:t xml:space="preserve">5. Anschrift; hat der Karteninhaber keine Wohnung in Deutschland, kann die Angabe „keine Wohnung in Deutschland“ eingetragen werden,</w:t>
      </w:r>
    </w:p>
    <w:p>
      <w:pPr>
        <w:ind w:left="420"/>
      </w:pPr>
      <w:r>
        <w:t xml:space="preserve">6. Staatsangehörigkeit,</w:t>
      </w:r>
    </w:p>
    <w:p>
      <w:pPr>
        <w:ind w:left="420"/>
      </w:pPr>
      <w:r>
        <w:t xml:space="preserve">7. Ordensname, Künstlername,</w:t>
      </w:r>
    </w:p>
    <w:p>
      <w:pPr>
        <w:ind w:left="420"/>
      </w:pPr>
      <w:r>
        <w:t xml:space="preserve">8. Dokumentenart und</w:t>
      </w:r>
    </w:p>
    <w:p>
      <w:pPr>
        <w:ind w:left="420"/>
      </w:pPr>
      <w:r>
        <w:t xml:space="preserve">9. letzter Tag der Gültigkeitsdauer.</w:t>
      </w:r>
    </w:p>
    <w:p>
      <w:r>
        <w:t xml:space="preserve">Zur Einrichtung eines elektronischen Identitätsnachweises nach § 8a Absatz 1 Satz 1 dürfen auf einem elektronischen Speicher- und Verarbeitungsmedium in einem mobilen Endgerät die Daten nach Satz 1 gespeichert werden.</w:t>
      </w:r>
    </w:p>
    <w:p>
      <w:r>
        <w:t xml:space="preserve">(5) Die gespeicherten Daten sind gegen unbefugtes Verändern, Löschen und Auslesen zu sichern.</w:t>
      </w:r>
    </w:p>
    <w:p>
      <w:r>
        <w:rPr>
          <w:color w:val="555555"/>
          <w:sz w:val="17"/>
        </w:rPr>
        <w:t xml:space="preserve">Zitiervorschlag: § 4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