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eIDKG — Verordnungsermächtigung</w:t>
      </w:r>
    </w:p>
    <w:p>
      <w:r>
        <w:rPr>
          <w:color w:val="555555"/>
          <w:sz w:val="18"/>
        </w:rPr>
        <w:t xml:space="preserve">eID-Karte-Gesetz</w:t>
      </w:r>
    </w:p>
    <w:p>
      <w:r>
        <w:rPr>
          <w:color w:val="555555"/>
          <w:sz w:val="18"/>
        </w:rPr>
        <w:t xml:space="preserve">Stand: 14.10.2023 (konsolidierte Textfassung, kein amtliches Inkrafttretensdatum)</w:t>
      </w:r>
    </w:p>
    <w:p>
      <w:r>
        <w:t xml:space="preserve">Das Bundesministerium des Innern und für Heimat wird ermächtigt, im Benehmen mit dem Auswärtigen Amt und mit Zustimmung des Bundesrates durch Rechtsverordnung</w:t>
      </w:r>
    </w:p>
    <w:p>
      <w:pPr>
        <w:ind w:left="420"/>
      </w:pPr>
      <w:r>
        <w:t xml:space="preserve">1. das Muster der eID-Karte zu bestimmen,</w:t>
      </w:r>
    </w:p>
    <w:p>
      <w:pPr>
        <w:ind w:left="420"/>
      </w:pPr>
      <w:r>
        <w:t xml:space="preserve">2. den Zugriffsschutz auf die im Chip abgelegten Daten zu regeln,</w:t>
      </w:r>
    </w:p>
    <w:p>
      <w:pPr>
        <w:ind w:left="420"/>
      </w:pPr>
      <w:r>
        <w:t xml:space="preserve">3. die Einzelheiten des Antragsverfahrens zu regeln,</w:t>
      </w:r>
    </w:p>
    <w:p>
      <w:pPr>
        <w:ind w:left="420"/>
      </w:pPr>
      <w:r>
        <w:t xml:space="preserve">4. die Einzelheiten über das Verfahren der Übermittlung sämtlicher Antragsdaten von den eID-Karte-Behörden an den Kartenhersteller zu regeln,</w:t>
      </w:r>
    </w:p>
    <w:p>
      <w:pPr>
        <w:ind w:left="420"/>
      </w:pPr>
      <w:r>
        <w:t xml:space="preserve">5. die Herstellung der eID-Karte und die Übermittlung und Übergabe von Geheimnummer, Entsperrnummer und Sperrkennwort zu regeln,</w:t>
      </w:r>
    </w:p>
    <w:p>
      <w:pPr>
        <w:ind w:left="420"/>
      </w:pPr>
      <w:r>
        <w:t xml:space="preserve">6. Einzelheiten der Aushändigung und den Versand der eID-Karte zu regeln,</w:t>
      </w:r>
    </w:p>
    <w:p>
      <w:pPr>
        <w:ind w:left="420"/>
      </w:pPr>
      <w:r>
        <w:t xml:space="preserve">7. die Änderung von Daten der eID-Karte wie den Namen oder die Anschrift, einschließlich des Verfahrens der Änderung der Anschrift auf dem elektronischen Speicher- und Verarbeitungsmedium nach einer elektronischen Anmeldung gemäß § 23a des Bundesmeldegesetzes, zu regeln,</w:t>
      </w:r>
    </w:p>
    <w:p>
      <w:pPr>
        <w:ind w:left="420"/>
      </w:pPr>
      <w:r>
        <w:t xml:space="preserve">8. die Einzelheiten zur Nutzung des elektronischen Identitätsnachweises und des Vor-Ort-Auslesens zu regeln,</w:t>
      </w:r>
    </w:p>
    <w:p>
      <w:pPr>
        <w:ind w:left="420"/>
      </w:pPr>
      <w:r>
        <w:t xml:space="preserve">8a. die Einzelheiten zur Einrichtung und zur Nutzung des elektronischen Identitätsnachweises mit einem mobilen Endgerät, sowie zu den technischen Anforderungen an mobile Endgeräte nach § 2 Absatz 11 zu regeln,</w:t>
      </w:r>
    </w:p>
    <w:p>
      <w:pPr>
        <w:ind w:left="420"/>
      </w:pPr>
      <w:r>
        <w:t xml:space="preserve">9. die Einzelheiten</w:t>
      </w:r>
    </w:p>
    <w:p>
      <w:pPr>
        <w:ind w:left="780"/>
      </w:pPr>
      <w:r>
        <w:t xml:space="preserve">a) der Geheimnummer, einschließlich des Verfahrens des Neusetzens der Geheimnummer durch den Kartenhersteller nach elektronisch gestelltem Antrag,</w:t>
      </w:r>
    </w:p>
    <w:p>
      <w:pPr>
        <w:ind w:left="780"/>
      </w:pPr>
      <w:r>
        <w:t xml:space="preserve">b) der Sperrung und Entsperrung sowie</w:t>
      </w:r>
    </w:p>
    <w:p>
      <w:pPr>
        <w:ind w:left="780"/>
      </w:pPr>
      <w:r>
        <w:t xml:space="preserve">c) der Speicherung und Löschung der Sperrmerkmale und des Sperrkennworts</w:t>
      </w:r>
    </w:p>
    <w:p>
      <w:pPr>
        <w:ind w:left="420"/>
      </w:pPr>
      <w:r>
        <w:t xml:space="preserve">festzulegen,</w:t>
      </w:r>
    </w:p>
    <w:p>
      <w:pPr>
        <w:ind w:left="420"/>
      </w:pPr>
      <w:r>
        <w:t xml:space="preserve">10. die sicherheitstechnischen Rahmenbedingungen festzulegen, die vorliegen müssen, damit öffentliche und private Stellen ein Benutzerkonto nach § 14 in Verbindung mit § 19 Absatz 5 des Personalausweisgesetzes anlegen und betreiben dürfen,</w:t>
      </w:r>
    </w:p>
    <w:p>
      <w:pPr>
        <w:ind w:left="420"/>
      </w:pPr>
      <w:r>
        <w:t xml:space="preserve">11. die Einzelheiten der Vergabe der Berechtigungen und der Berechtigungszertifikate festzulegen,</w:t>
      </w:r>
    </w:p>
    <w:p>
      <w:pPr>
        <w:ind w:left="420"/>
      </w:pPr>
      <w:r>
        <w:t xml:space="preserve">12. die Einzelheiten zur Durchführung von automatisierten Mitteilungen oder automatisierten Abrufen nach § 19a sowie zur Form und zum Inhalt der zu übermittelnden Daten festzulegen.</w:t>
      </w:r>
    </w:p>
    <w:p>
      <w:r>
        <w:t xml:space="preserve">In einer Rechtsverordnung nach Satz 1 Nummer 8a sind Regelungen zu Maßnahmen gegen eine missbräuchliche Verwendung bei der Einrichtung eines elektronischen Identitätsnachweises mit einem mobilen Endgerät vorzusehen.</w:t>
      </w:r>
    </w:p>
    <w:p>
      <w:r>
        <w:rPr>
          <w:color w:val="555555"/>
          <w:sz w:val="17"/>
        </w:rPr>
        <w:t xml:space="preserve">Zitiervorschlag: § 25 eIDKG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https://recht.nulegal.eu/gesetze/eIDKG/25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