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eIDKG — Gebühren und Auslagen; Verordnungsermächtigung</w:t>
      </w:r>
    </w:p>
    <w:p>
      <w:r>
        <w:rPr>
          <w:color w:val="555555"/>
          <w:sz w:val="18"/>
        </w:rPr>
        <w:t xml:space="preserve">eID-Karte-Gesetz</w:t>
      </w:r>
    </w:p>
    <w:p>
      <w:r>
        <w:rPr>
          <w:color w:val="555555"/>
          <w:sz w:val="18"/>
        </w:rPr>
        <w:t xml:space="preserve">Stand: 14.10.2023 (konsolidierte Textfassung, kein amtliches Inkrafttretensdatum)</w:t>
      </w:r>
    </w:p>
    <w:p>
      <w:r>
        <w:t xml:space="preserve">(1) Für individuell zurechenbare öffentliche Leistungen nach diesem Gesetz erheben die eID-Karte-Behörden Gebühren und Auslagen nach den Absätzen 2 und 3.</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 Grunde zu legen. Zu den Gemeinkosten zählen auch die Kosten der Rechts- und Fachaufsicht. Grundlage der Gebührenermittlung nach den Sätzen 1 bis 4 sind Kosten, die in der Gesamtheit der Länder mit der jeweiligen Leistung verbunden sind. § 3 Absatz 1 und 2, die §§ 5 bis 7, 9 Absatz 3 bis 6 und die §§ 10 bis 12 des Bundesgebührengesetzes gelten entsprechend.</w:t>
      </w:r>
    </w:p>
    <w:p>
      <w:r>
        <w:t xml:space="preserve">(3) Das Bundesministerium des Innern und für Heimat wird ermächtigt, für den Bereich der Landesverwaltung durch Rechtsverordnung mit Zustimmung des Bundesrates die gebührenpflichtigen Tatbestände, die Gebührenhöhe und die Auslagenerstattung näher zu bestimmen.</w:t>
      </w:r>
    </w:p>
    <w:p>
      <w:r>
        <w:t xml:space="preserve">(4) Das Auswärtige Amt kann durch Besondere Gebührenverordnung nach § 22 Absatz 4 des Bundesgebührengesetzes bestimmen, dass von den Auslandsvertretungen der Bundesrepublik Deutschland für individuell zurechenbare öffentliche Leistungen nach diesem Gesetz und den auf diesem Gesetz beruhenden Rechtsverordnungen zum Ausgleich von Kaufkraftunterschieden ein Zuschlag erhoben wird. Der Zuschlag kann bis zu 300 Prozent betragen.</w:t>
      </w:r>
    </w:p>
    <w:p>
      <w:r>
        <w:rPr>
          <w:color w:val="555555"/>
          <w:sz w:val="17"/>
        </w:rPr>
        <w:t xml:space="preserve">Zitiervorschlag: § 23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