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eIDKG — Ungültigkeit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(1) Eine eID-Karte ist ungültig, wenn</w:t>
      </w:r>
    </w:p>
    <w:p>
      <w:pPr>
        <w:ind w:left="420"/>
      </w:pPr>
      <w:r>
        <w:t xml:space="preserve">1. Eintragungen nach diesem Gesetz fehlen oder mit Ausnahme der Angabe über die Anschrift unzutreffend sind oder</w:t>
      </w:r>
    </w:p>
    <w:p>
      <w:pPr>
        <w:ind w:left="420"/>
      </w:pPr>
      <w:r>
        <w:t xml:space="preserve">2. die Gültigkeitsdauer abgelaufen ist.</w:t>
      </w:r>
    </w:p>
    <w:p>
      <w:r>
        <w:t xml:space="preserve">(2) Die eID-Karte-Behörde hat eine eID-Karte für ungültig zu erklären, wenn die Voraussetzungen für ihre Erteilung im Zeitpunkt der Ausstellung nicht vorgelegen haben oder nachträglich weggefallen sind.</w:t>
      </w:r>
    </w:p>
    <w:p>
      <w:r>
        <w:rPr>
          <w:color w:val="555555"/>
          <w:sz w:val="17"/>
        </w:rPr>
        <w:t xml:space="preserve">Zitiervorschlag: § 21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