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eIDKG — Elektronische Signatur</w:t>
      </w:r>
    </w:p>
    <w:p>
      <w:r>
        <w:rPr>
          <w:color w:val="555555"/>
          <w:sz w:val="18"/>
        </w:rPr>
        <w:t xml:space="preserve">eID-Karte-Gesetz</w:t>
      </w:r>
    </w:p>
    <w:p>
      <w:r>
        <w:rPr>
          <w:color w:val="555555"/>
          <w:sz w:val="18"/>
        </w:rPr>
        <w:t xml:space="preserve">Stand: 08.11.2019 (konsolidierte Textfassung, kein amtliches Inkrafttretensdatum)</w:t>
      </w:r>
    </w:p>
    <w:p>
      <w:r>
        <w:t xml:space="preserve">Die eID-Karte kann als qualifizierte elektronische Signaturerstellungseinheit im Sinne des Artikels 3 Nummer 23 der Verordnung (EU) Nr. 910/2014 des Europäischen Parlaments und des Rates vom 23. Juli 2014 über elektronische Identifizierung und Vertrauensdienste für elektronische Transaktionen im Binnenmarkt und zur Aufhebung der Richtlinie 1999/93/EG (ABl. L 257 vom 28.8.2014, S. 73; L 23 vom 29.1.2015, S. 19; L 155 vom 14.6.2016, S. 44) ausgestaltet werden. Die Zertifizierung nach Artikel 30 der Verordnung (EU) Nr. 910/2014 erfolgt durch das Bundesamt für Sicherheit in der Informationstechnik. Die Vorschriften des Vertrauensdienstegesetzes bleiben unberührt.</w:t>
      </w:r>
    </w:p>
    <w:p>
      <w:r>
        <w:rPr>
          <w:color w:val="555555"/>
          <w:sz w:val="17"/>
        </w:rPr>
        <w:t xml:space="preserve">Zitiervorschlag: § 18 eIDKG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https://recht.nulegal.eu/gesetze/eIDKG/18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