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eIDKG — Berechtigung für Identifizierungsdiensteanbieter</w:t>
      </w:r>
    </w:p>
    <w:p>
      <w:r>
        <w:rPr>
          <w:color w:val="555555"/>
          <w:sz w:val="18"/>
        </w:rPr>
        <w:t xml:space="preserve">eID-Karte-Gesetz</w:t>
      </w:r>
    </w:p>
    <w:p>
      <w:r>
        <w:rPr>
          <w:color w:val="555555"/>
          <w:sz w:val="18"/>
        </w:rPr>
        <w:t xml:space="preserve">Stand: 08.11.2019 (konsolidierte Textfassung, kein amtliches Inkrafttretensdatum)</w:t>
      </w:r>
    </w:p>
    <w:p>
      <w:r>
        <w:t xml:space="preserve">Wer als Identifizierungsdiensteanbieter die Funktion des elektronischen Identitätsnachweises nach § 12 nutzen möchte, um Identifizierungsdienstleistungen für Dritte zu erbringen, bedarf einer Berechtigung. § 21b des Personalausweisgesetzes gilt hierfür entsprechend.</w:t>
      </w:r>
    </w:p>
    <w:p>
      <w:r>
        <w:rPr>
          <w:color w:val="555555"/>
          <w:sz w:val="17"/>
        </w:rPr>
        <w:t xml:space="preserve">Zitiervorschlag: § 17 eIDKG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https://recht.nulegal.eu/gesetze/eIDKG/17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