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eIDKG — Vor-Ort-Auslesen</w:t>
      </w:r>
    </w:p>
    <w:p>
      <w:r>
        <w:rPr>
          <w:color w:val="555555"/>
          <w:sz w:val="18"/>
        </w:rPr>
        <w:t xml:space="preserve">eID-Karte-Gesetz</w:t>
      </w:r>
    </w:p>
    <w:p>
      <w:r>
        <w:rPr>
          <w:color w:val="555555"/>
          <w:sz w:val="18"/>
        </w:rPr>
        <w:t xml:space="preserve">Stand: 08.11.2019 (konsolidierte Textfassung, kein amtliches Inkrafttretensdatum)</w:t>
      </w:r>
    </w:p>
    <w:p>
      <w:r>
        <w:t xml:space="preserve">(1) Der Karteninhaber kann seine eID-Karte ferner dazu verwenden, die im Chip gespeicherten Daten zum Zwecke der medienbruchfreien Übernahme von Formulardaten unter Anwesenden zu übermitteln.</w:t>
      </w:r>
    </w:p>
    <w:p>
      <w:r>
        <w:t xml:space="preserve">(2) Vor dem Vor-Ort-Auslesen der Daten ist der Vor-Ort-Diensteanbieter verpflichtet, anhand eines gültigen Passes oder amtlichen Ausweises per Lichtbildabgleich zu prüfen, ob die die eID-Karte vorlegende Person der Karteninhaber ist. Die Daten werden nur übermittelt, wenn der Vor-Ort-Anbieter mit Einverständnis des Karteninhabers die Zugangsnummer ausliest und diese zusammen mit einem gültigen Vor-Ort-Zertifikat an den Chip der eID-Karte übermittelt.</w:t>
      </w:r>
    </w:p>
    <w:p>
      <w:r>
        <w:rPr>
          <w:color w:val="555555"/>
          <w:sz w:val="17"/>
        </w:rPr>
        <w:t xml:space="preserve">Zitiervorschlag: § 13 eIDKG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https://recht.nulegal.eu/gesetze/eIDKG/13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