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eIDKG — Datenerfassung, -prüfung und -übermittlung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08.11.2019 (konsolidierte Textfassung, kein amtliches Inkrafttretensdatum)</w:t>
      </w:r>
    </w:p>
    <w:p>
      <w:r>
        <w:t xml:space="preserve">Für die Form und das Verfahren der Datenerfassung, -prüfung und -übermittlung und für die Übermittlung von Geheimnummer, Entsperrnummer und Sperrkennwort gelten die §§ 12 und 13 des Personalausweisgesetzes entsprechend.</w:t>
      </w:r>
    </w:p>
    <w:p>
      <w:r>
        <w:rPr>
          <w:color w:val="555555"/>
          <w:sz w:val="17"/>
        </w:rPr>
        <w:t xml:space="preserve">Zitiervorschlag: § 11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