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eIDITBV (Brandenburg) — Inkrafttreten</w:t>
      </w:r>
    </w:p>
    <w:p>
      <w:r>
        <w:rPr>
          <w:color w:val="555555"/>
          <w:sz w:val="18"/>
        </w:rPr>
        <w:t xml:space="preserve">eID- und IT-Basiskomponentenverordnung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Verordnung tritt vorbehaltlich des Satzes 2 am Tag nach der Verkündung in Kraft. § 1 tritt mit Wirkung vom 1. Juli 2019 in Kraft.</w:t>
      </w:r>
    </w:p>
    <w:p>
      <w:r>
        <w:t xml:space="preserve">Einzelnorm</w:t>
      </w:r>
    </w:p>
    <w:p>
      <w:r>
        <w:t xml:space="preserve">Potsdam, den 9. Juli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t xml:space="preserve">Anlagen</w:t>
      </w:r>
    </w:p>
    <w:p>
      <w:r>
        <w:t xml:space="preserve">1</w:t>
      </w:r>
    </w:p>
    <w:p>
      <w:r>
        <w:t xml:space="preserve">Anlage (zu § 4 Absatz 1) - Musterverzeichnis 172.6 KB</w:t>
      </w:r>
    </w:p>
    <w:p>
      <w:r>
        <w:rPr>
          <w:color w:val="555555"/>
          <w:sz w:val="17"/>
        </w:rPr>
        <w:t xml:space="preserve">Zitiervorschlag: § 5 eIDITBV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https://recht.nulegal.eu/gesetze/eIDITBV/5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