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eGruVO NRW (Nordrhein-Westfalen) — Übertragung von Papierdokumenten</w:t>
      </w:r>
    </w:p>
    <w:p>
      <w:r>
        <w:rPr>
          <w:color w:val="555555"/>
          <w:sz w:val="18"/>
        </w:rPr>
        <w:t xml:space="preserve">eGrundakten-Einführungsverordnung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Sind nach § 5 Satz 1 Grundakten elektronisch zu führen oder nach § 5 Satz 2 elektronisch weiterzuführen, so sind zu diesen in Papierform eingehende Schriftstücke in elektronische Dokumente zu übertragen und in dieser Form zur Grundakte zu nehmen. Gescannte Leerseiten sind nicht zur Grundakte zu nehmen.</w:t>
      </w:r>
    </w:p>
    <w:p>
      <w:r>
        <w:t xml:space="preserve">(2) Die in Papierform vorliegenden Schriftstücke sind sechs Monate nach ihrer Übertragung, jedoch nicht vor der Entscheidung über den Antrag, zu vernichten, sofern sie nicht rückgabepflichtig sind oder eine Aufbewahrung im Einzelfall zu erfolgen hat.</w:t>
      </w:r>
    </w:p>
    <w:p>
      <w:r>
        <w:t xml:space="preserve">(3) Es ist sicherzustellen, dass das elektronische Dokument mit den vorliegenden Schriftstücken und sonstigen Unterlagen bildlich und inhaltlich übereinstimmt. Die Übertragung hat nach dem Stand der Technik zu erfolgen. Dies ist insbesondere der Fall, wenn den Anforderungen der jeweils aktuellen Technischen Richtlinie 03138 Ersetzendes Scannen (RESISCAN) des Bundesamtes für Sicherheit in der Informationstechnik genügt wird.</w:t>
      </w:r>
    </w:p>
    <w:p>
      <w:r>
        <w:rPr>
          <w:color w:val="555555"/>
          <w:sz w:val="17"/>
        </w:rPr>
        <w:t xml:space="preserve">Zitiervorschlag: § 7 eGruVO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https://recht.nulegal.eu/gesetze/eGruVO%20NRW/7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