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eGruVO NRW (Nordrhein-Westfalen) — Einführung der elektronischen Grundakte</w:t>
      </w:r>
    </w:p>
    <w:p>
      <w:r>
        <w:rPr>
          <w:color w:val="555555"/>
          <w:sz w:val="18"/>
        </w:rPr>
        <w:t xml:space="preserve">eGrundakten-Einführungsverordnung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den in Spalte 1 der Anlage bezeichneten Grundbuchämtern werden ab dem in Spalte 3 der Anlage angegebenen Zeitpunkt neu anzulegende Grundakten elektronisch geführt. Grundakten, die bereits angelegt sind, werden ab diesem Zeitpunkt elektronisch weitergeführt.</w:t>
      </w:r>
    </w:p>
    <w:p>
      <w:r>
        <w:rPr>
          <w:color w:val="555555"/>
          <w:sz w:val="17"/>
        </w:rPr>
        <w:t xml:space="preserve">Zitiervorschlag: § 5 eGruVO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https://recht.nulegal.eu/gesetze/eGruVO%20NRW/5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eGruVO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