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eGruVO NRW (Nordrhein-Westfalen) — Inkrafttreten</w:t>
      </w:r>
    </w:p>
    <w:p>
      <w:r>
        <w:rPr>
          <w:color w:val="555555"/>
          <w:sz w:val="18"/>
        </w:rPr>
        <w:t xml:space="preserve">eGrundakten-Einführungsverordnung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13 eGruVO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https://recht.nulegal.eu/gesetze/eGruVO%20NRW/13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