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eGSVAktV (Brandenburg) — Inkrafttreten</w:t>
      </w:r>
    </w:p>
    <w:p>
      <w:r>
        <w:rPr>
          <w:color w:val="555555"/>
          <w:sz w:val="18"/>
        </w:rPr>
        <w:t xml:space="preserve">elektronische-Geldstrafenvollstreckungs-Akten-Verordnung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01.09.2026 (konsolidierte Textfassung, kein amtliches Inkrafttretensdatum)</w:t>
      </w:r>
    </w:p>
    <w:p>
      <w:r>
        <w:t xml:space="preserve">Diese Verordnung tritt am Tag nach der Verkündung in Kraft.</w:t>
      </w:r>
    </w:p>
    <w:p>
      <w:r>
        <w:t xml:space="preserve">Potsdam, den 26. September 2023</w:t>
      </w:r>
    </w:p>
    <w:p>
      <w:r>
        <w:t xml:space="preserve">Die Ministerin der Justiz</w:t>
      </w:r>
    </w:p>
    <w:p>
      <w:r>
        <w:t xml:space="preserve">Susanne Hoffmann</w:t>
      </w:r>
    </w:p>
    <w:p>
      <w:r>
        <w:rPr>
          <w:color w:val="555555"/>
          <w:sz w:val="17"/>
        </w:rPr>
        <w:t xml:space="preserve">Zitiervorschlag: § 8 eGSVAktV (Brandenburg)</w:t>
      </w:r>
    </w:p>
    <w:p>
      <w:r>
        <w:rPr>
          <w:color w:val="555555"/>
          <w:sz w:val="17"/>
        </w:rPr>
        <w:t xml:space="preserve">Quelle: bravors, abgerufen 01.09.2026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https://recht.nulegal.eu/gesetze/eGSVAktV/8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