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eGSVAktV (Brandenburg) — Bildung elektronischer Vollstreckungshefte</w:t>
      </w:r>
    </w:p>
    <w:p>
      <w:r>
        <w:rPr>
          <w:color w:val="555555"/>
          <w:sz w:val="18"/>
        </w:rPr>
        <w:t xml:space="preserve">elektronische-Geldstrafenvollstreckungs-Akten-Verordnung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Elektronische Dokumente sowie in Papierform beibehaltene Schriftstücke und sonstige Unterlagen gemäß § 4 Absatz 1 Satz 2, die dieselbe Angelegenheit betreffen, sind zu einem Vollstreckungsheft zu vereinigen.</w:t>
      </w:r>
    </w:p>
    <w:p>
      <w:r>
        <w:t xml:space="preserve">(2) Enthält ein elektronisches Vollstreckungsheft sowohl elektronische als auch in Papierform beibehaltene Bestandteile, so muss beim Zugriff auf jeden der Teile ein Hinweis auf den jeweils anderen Teil enthalten sein.</w:t>
      </w:r>
    </w:p>
    <w:p>
      <w:r>
        <w:t xml:space="preserve">(3) Elektronische Vollstreckungshefte sind so zu strukturieren, dass sie die interne Bearbeitung sowie den Aktenaustausch unterstützen.</w:t>
      </w:r>
    </w:p>
    <w:p>
      <w:r>
        <w:rPr>
          <w:color w:val="555555"/>
          <w:sz w:val="17"/>
        </w:rPr>
        <w:t xml:space="preserve">Zitiervorschlag: § 3 eGSVAktV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https://recht.nulegal.eu/gesetze/eGSVAktV/3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