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eGSVAktV (Brandenburg) — Regelung</w:t>
      </w:r>
    </w:p>
    <w:p>
      <w:r>
        <w:rPr>
          <w:color w:val="555555"/>
          <w:sz w:val="18"/>
        </w:rPr>
        <w:t xml:space="preserve">elektronische-Geldstrafenvollstreckungs-Akten-Verordnung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das Führen von elektronischen Akten bei den Staatsanwaltschaften in den in der Anlage genannten Vollstreckungsverfahren.</w:t>
      </w:r>
    </w:p>
    <w:p>
      <w:r>
        <w:rPr>
          <w:color w:val="555555"/>
          <w:sz w:val="17"/>
        </w:rPr>
        <w:t xml:space="preserve">Zitiervorschlag: § 1 eGSVAktV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https://recht.nulegal.eu/gesetze/eGSVAktV/1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