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eGBRStVtr (Brandenburg) — Haushalts- und Wirtschaftsführung</w:t>
      </w:r>
    </w:p>
    <w:p>
      <w:r>
        <w:rPr>
          <w:color w:val="555555"/>
          <w:sz w:val="18"/>
        </w:rPr>
        <w:t xml:space="preserve">eGBR-Staatsvertrag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1 Die Haushalts- und Wirtschaftsführung des elektronischen Gesundheitsberuferegisters unterliegt der Prüfung des Rechnungshofs des Sitzlandes. 2 Das elektronische Gesundheitsberuferegister leitet dem Länderbeirat eine Prüfungsmitteilung des Rechnungshofs nach Erhalt unverzüglich zu. 3 Das elektronische Gesundheitsberuferegister hat bei seiner Haushalts- und Wirtschaftsführung die Grundsätze der Wirtschaftlichkeit und Sparsamkeit zu beachten.</w:t>
      </w:r>
    </w:p>
    <w:p>
      <w:r>
        <w:rPr>
          <w:color w:val="555555"/>
          <w:sz w:val="17"/>
        </w:rPr>
        <w:t xml:space="preserve">Zitiervorschlag: Art 5 eGBRStVtr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https://recht.nulegal.eu/gesetze/eGBRStVtr/5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