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eGBR-GebO (Nordrhein-Westfalen) — Inkrafttreten</w:t>
      </w:r>
    </w:p>
    <w:p>
      <w:r>
        <w:rPr>
          <w:color w:val="555555"/>
          <w:sz w:val="18"/>
        </w:rPr>
        <w:t xml:space="preserve">elekt. Gesundheitsberuferegister-Gebührenordnung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der Finanzen</w:t>
      </w:r>
    </w:p>
    <w:p>
      <w:r>
        <w:t xml:space="preserve">Der Minister des Innern</w:t>
      </w:r>
    </w:p>
    <w:p>
      <w:r>
        <w:t xml:space="preserve">Der Minister für Arbeit, Gesundheit und Soziales</w:t>
      </w:r>
    </w:p>
    <w:p>
      <w:r>
        <w:rPr>
          <w:color w:val="555555"/>
          <w:sz w:val="17"/>
        </w:rPr>
        <w:t xml:space="preserve">Zitiervorschlag: § 4 eGBR-GebO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https://recht.nulegal.eu/gesetze/eGBR-GebO/4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