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eGBR-GebO (Nordrhein-Westfalen) — Ergänzende Bestimmungen</w:t>
      </w:r>
    </w:p>
    <w:p>
      <w:r>
        <w:rPr>
          <w:color w:val="555555"/>
          <w:sz w:val="18"/>
        </w:rPr>
        <w:t xml:space="preserve">elekt. Gesundheitsberuferegister-Gebührenordnung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Kasse im Sinne von § 18 Absatz 4 des Gebührengesetzes NRW ist die Außenstelle bei der Bezirksregierung Münster der Landeshauptkasse Nordrhein-Westfalen.</w:t>
      </w:r>
    </w:p>
    <w:p>
      <w:r>
        <w:t xml:space="preserve">(2) Von der Erhebung von Gebühren nach § 2 kann abgesehen werden, wenn dies aus Gründen der Billigkeit geboten erscheint.</w:t>
      </w:r>
    </w:p>
    <w:p>
      <w:r>
        <w:rPr>
          <w:color w:val="555555"/>
          <w:sz w:val="17"/>
        </w:rPr>
        <w:t xml:space="preserve">Zitiervorschlag: § 3 eGBR-GebO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https://recht.nulegal.eu/gesetze/eGBR-GebO/3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