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eGBR-GebO (Nordrhein-Westfalen) — Verwaltungsgebühren</w:t>
      </w:r>
    </w:p>
    <w:p>
      <w:r>
        <w:rPr>
          <w:color w:val="555555"/>
          <w:sz w:val="18"/>
        </w:rPr>
        <w:t xml:space="preserve">elekt. Gesundheitsberuferegister-Gebührenordnung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elektronische Gesundheitsberuferegister bei der Bezirksregierung Münster erhebt für die im anliegenden Gebührentarif (Anlage zu dieser Gebührenordnung) aufgeführten Amtshandlungen die dort genannten Verwaltungsgebühren. Der Gebührentarif ist Bestandteil dieser Verordnung.</w:t>
      </w:r>
    </w:p>
    <w:p>
      <w:r>
        <w:rPr>
          <w:color w:val="555555"/>
          <w:sz w:val="17"/>
        </w:rPr>
        <w:t xml:space="preserve">Zitiervorschlag: § 2 eGBR-GebO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https://recht.nulegal.eu/gesetze/eGBR-GebO/2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