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eBAnzV</w:t>
      </w:r>
    </w:p>
    <w:p>
      <w:r>
        <w:rPr>
          <w:color w:val="555555"/>
          <w:sz w:val="18"/>
        </w:rPr>
        <w:t xml:space="preserve">Verordnung über die Übertragung der Führung des Unternehmensregisters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Auf Grund des § 9a Abs. 1 des Handelsgesetzbuchs, der durch Artikel 1 Nr. 2 des Gesetzes vom 10. November 2006 (BGBl. I S. 2553) neu gefasst worden ist, und des Artikels 61 Abs. 2 des Einführungsgesetzes zum Handelsgesetzbuch, der durch Artikel 2 des Gesetzes vom 10. November 2006 (BGBl. I S. 2553) eingefügt worden ist, verordnet das Bundesministerium der Justiz:</w:t>
      </w:r>
    </w:p>
    <w:p>
      <w:r>
        <w:rPr>
          <w:color w:val="555555"/>
          <w:sz w:val="17"/>
        </w:rPr>
        <w:t xml:space="preserve">Zitiervorschlag: Eingangsformel eBAnzV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https://recht.nulegal.eu/gesetze/eBAnzV/eingangsformel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