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eAktVOZivFam (Nordrhein-Westfalen) — Geltung der Aktenordnungen</w:t>
      </w:r>
    </w:p>
    <w:p>
      <w:r>
        <w:rPr>
          <w:color w:val="555555"/>
          <w:sz w:val="18"/>
        </w:rPr>
        <w:t xml:space="preserve">eAkten-Verordnung in Zivil- und Familiensachen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Übrigen bleiben die Aktenordnungen unberührt.</w:t>
      </w:r>
    </w:p>
    <w:p>
      <w:r>
        <w:rPr>
          <w:color w:val="555555"/>
          <w:sz w:val="17"/>
        </w:rPr>
        <w:t xml:space="preserve">Zitiervorschlag: § 5 eAktVOZivFam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https://recht.nulegal.eu/gesetze/eAktVOZivFam/5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