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eAktVOZivFam (Nordrhein-Westfalen) — Ersatzmaßnahmen</w:t>
      </w:r>
    </w:p>
    <w:p>
      <w:r>
        <w:rPr>
          <w:color w:val="555555"/>
          <w:sz w:val="18"/>
        </w:rPr>
        <w:t xml:space="preserve">eAkten-Verordnung in Zivil- und Familiensachen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Falle anhaltender technischer Störungen beim Betrieb der elektronischen Akte kann die Gerichtsleitung des von den Störungen betroffenen Gerichts anordnen, dass eine Ersatzakte in Papierform geführt wird. Diese ist in die elektronische Form zu übertragen, sobald die Störung behoben ist.</w:t>
      </w:r>
    </w:p>
    <w:p>
      <w:r>
        <w:rPr>
          <w:color w:val="555555"/>
          <w:sz w:val="17"/>
        </w:rPr>
        <w:t xml:space="preserve">Zitiervorschlag: § 4 eAktVOZivFam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https://recht.nulegal.eu/gesetze/eAktVOZivFam/4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eAktVOZivFam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