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eAktVO Straf (Nordrhein-Westfalen) — Anwendungsbereich</w:t>
      </w:r>
    </w:p>
    <w:p>
      <w:r>
        <w:rPr>
          <w:color w:val="555555"/>
          <w:sz w:val="18"/>
        </w:rPr>
        <w:t xml:space="preserve">eAkten-Verordnung Strafverfahren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gilt für elektronisch geführte Strafverfahrensakten der Gerichte und Staatsanwaltschaften des Landes Nordrhein-Westfalen.</w:t>
      </w:r>
    </w:p>
    <w:p>
      <w:r>
        <w:rPr>
          <w:color w:val="555555"/>
          <w:sz w:val="17"/>
        </w:rPr>
        <w:t xml:space="preserve">Zitiervorschlag: § 1 eAktVO Straf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https://recht.nulegal.eu/gesetze/eAktVO%20Straf/1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