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eAktVO RHSt (Nordrhein-Westfalen) — Inkrafttreten, Außerkrafttreten</w:t>
      </w:r>
    </w:p>
    <w:p>
      <w:r>
        <w:rPr>
          <w:color w:val="555555"/>
          <w:sz w:val="18"/>
        </w:rPr>
        <w:t xml:space="preserve">eAkten-Verordnung Rechtshilfe nach dem IRG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eAkten-Verordnung Auslieferungssachen nach dem IRG vom 7. Februar 2025 (GV. NRW. S. 172) außer Kraft.</w:t>
      </w:r>
    </w:p>
    <w:p>
      <w:r>
        <w:t xml:space="preserve">Der Minister der Justiz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10 eAktVO RHSt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https://recht.nulegal.eu/gesetze/eAktVO%20RHSt/10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