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eAktVO HintG (Nordrhein-Westfalen)</w:t>
      </w:r>
    </w:p>
    <w:p>
      <w:r>
        <w:rPr>
          <w:color w:val="555555"/>
          <w:sz w:val="18"/>
        </w:rPr>
        <w:t xml:space="preserve">eAkten-Verordnung in Hinterlegungssachen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November 2023</w:t>
      </w:r>
    </w:p>
    <w:p>
      <w:r>
        <w:t xml:space="preserve">Auf Grund des § 8 Absatz 2 Satz 3 und 4 des Hinterlegungsgesetzes Nordrhein-Westfalen vom 16. März 2010 (GV. NRW. S. 192), der durch Artikel 1 Nummer 6 des Gesetzes vom 19. Dezember 2019 (GV. NRW. S. 1004) eingefügt worden ist, in Verbindung mit § 1 Absatz 2 Satz 1 des Justizgesetzes Nordrhein-Westfalen vom 26. Januar 2010 (GV. NRW. S. 30), der zuletzt durch Gesetz vom 23. Februar 2022 (GV. NRW. S. 254) geändert worden ist, verordnet das Ministerium der Justiz:</w:t>
      </w:r>
    </w:p>
    <w:p>
      <w:r>
        <w:rPr>
          <w:color w:val="555555"/>
          <w:sz w:val="17"/>
        </w:rPr>
        <w:t xml:space="preserve">Zitiervorschlag: Eingangsformel eAktVO HintG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https://recht.nulegal.eu/gesetze/eAktVO%20HintG/eingangsformel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