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eAktVO FG (Nordrhein-Westfalen)</w:t>
      </w:r>
    </w:p>
    <w:p>
      <w:r>
        <w:rPr>
          <w:color w:val="555555"/>
          <w:sz w:val="18"/>
        </w:rPr>
        <w:t xml:space="preserve">eAkten-Verordnung Finanzgerichtsbarkeit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Februar 2017</w:t>
      </w:r>
    </w:p>
    <w:p>
      <w:r>
        <w:t xml:space="preserve">Auf Grund des § 52b Absatz 1 Satz 2, 3 und 5 der Finanzgerichtsordnung in der Fassung vom 28. März 2001 (BGBl. I S. 442, 2262; 2002 I S. 679), der durch Artikel 3 des Gesetzes vom 22. März 2005 (BGBl. I S. 837) eingefügt worden ist, in Verbindung mit § 1 Absatz 2 des Justizgesetzes Nordrhein-Westfalen vom 26. Januar 2010 (GV. NRW. S. 30), verordnet das Justizministerium:</w:t>
      </w:r>
    </w:p>
    <w:p>
      <w:r>
        <w:rPr>
          <w:color w:val="555555"/>
          <w:sz w:val="17"/>
        </w:rPr>
        <w:t xml:space="preserve">Zitiervorschlag: Eingangsformel eAktVO FG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https://recht.nulegal.eu/gesetze/eAktVO%20FG/eingangsformel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