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eAktVO FG (Nordrhein-Westfalen) — Geltung der Aktenordnungen</w:t>
      </w:r>
    </w:p>
    <w:p>
      <w:r>
        <w:rPr>
          <w:color w:val="555555"/>
          <w:sz w:val="18"/>
        </w:rPr>
        <w:t xml:space="preserve">eAkten-Verordnung Finanzgerichtsbarkeit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Im Übrigen bleiben die Aktenordnungen unberührt.</w:t>
      </w:r>
    </w:p>
    <w:p>
      <w:r>
        <w:rPr>
          <w:color w:val="555555"/>
          <w:sz w:val="17"/>
        </w:rPr>
        <w:t xml:space="preserve">Zitiervorschlag: § 5 eAktVO FG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https://recht.nulegal.eu/gesetze/eAktVO%20FG/5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