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eAktVO FG (Nordrhein-Westfalen) — Ersatzmaßnahmen</w:t>
      </w:r>
    </w:p>
    <w:p>
      <w:r>
        <w:rPr>
          <w:color w:val="555555"/>
          <w:sz w:val="18"/>
        </w:rPr>
        <w:t xml:space="preserve">eAkten-Verordnung Finanzgerichtsbarkeit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Falle anhaltender technischer Störungen beim Betrieb der elektronischen Akte kann die Gerichtsleitung des von den Störungen betroffenen Gerichts anordnen, dass eine Ersatzakte in Papierform geführt wird. Diese ist in die elektronische Form zu übertragen, sobald die Störung behoben ist.</w:t>
      </w:r>
    </w:p>
    <w:p>
      <w:r>
        <w:rPr>
          <w:color w:val="555555"/>
          <w:sz w:val="17"/>
        </w:rPr>
        <w:t xml:space="preserve">Zitiervorschlag: § 4 eAktVO 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https://recht.nulegal.eu/gesetze/eAktVO%20FG/4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