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eAktVO FG (Nordrhein-Westfalen) — Übertragung von Papierdokumenten</w:t>
      </w:r>
    </w:p>
    <w:p>
      <w:r>
        <w:rPr>
          <w:color w:val="555555"/>
          <w:sz w:val="18"/>
        </w:rPr>
        <w:t xml:space="preserve">eAkten-Verordnung Finanzgerichtsbarkeit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Schriftstücke und sonstige Unterlagen, die zu einer elektronisch geführten Akte in Papierform genommen werden, sind in die elektronische Form zu übertragen. Ausgenommen sind Schriftstücke und sonstige Unterlagen, deren Übertragung wegen ihres Umfanges oder ihrer sonstigen Beschaffenheit unverhältnismäßig wäre, sowie in Papierform geführte Akten anderer Instanzen und Beiakten.</w:t>
      </w:r>
    </w:p>
    <w:p>
      <w:r>
        <w:t xml:space="preserve">(2) Es ist sicherzustellen, dass das elektronische Dokument mit den vorliegenden Schriftstücken und sonstigen Unterlagen bildlich und inhaltlich übereinstimmt. Die Übertragung hat nach dem Stand der Technik zu erfolgen. Dies ist insbesondere der Fall, wenn den Anforderungen der Technischen Richtlinie 03138 Ersetzendes Scannen (RESISCAN) des Bundesamtes für Sicherheit in der Informationstechnik genügt wird. Eingescannte Leerseiten werden nicht gespeichert.</w:t>
      </w:r>
    </w:p>
    <w:p>
      <w:r>
        <w:t xml:space="preserve">(3) Die in Papierform vorliegenden, in die elektronische Form übertragenen Schriftstücke und sonstigen Unterlagen können sechs Monate nach der Übertragung vernichtet werden, sofern sie nicht rückgabepflichtig sind.</w:t>
      </w:r>
    </w:p>
    <w:p>
      <w:r>
        <w:rPr>
          <w:color w:val="555555"/>
          <w:sz w:val="17"/>
        </w:rPr>
        <w:t xml:space="preserve">Zitiervorschlag: § 2 eAktVO FG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https://recht.nulegal.eu/gesetze/eAktVO%20FG/2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