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eAktVO ArbG (Nordrhein-Westfalen) — Inkrafttreten</w:t>
      </w:r>
    </w:p>
    <w:p>
      <w:r>
        <w:rPr>
          <w:color w:val="555555"/>
          <w:sz w:val="18"/>
        </w:rPr>
        <w:t xml:space="preserve">eAkten-Verordnung Arbeitsgerichtsbarkeit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März 2020 in Kraft.</w:t>
      </w:r>
    </w:p>
    <w:p>
      <w:r>
        <w:rPr>
          <w:color w:val="555555"/>
          <w:sz w:val="17"/>
        </w:rPr>
        <w:t xml:space="preserve">Zitiervorschlag: § 6 eAktVO ArbG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https://recht.nulegal.eu/gesetze/eAktVO%20ArbG/6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eAktVO ArbG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