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eAktVO ArbG (Nordrhein-Westfalen) — Geltung der Aktenordnungen</w:t>
      </w:r>
    </w:p>
    <w:p>
      <w:r>
        <w:rPr>
          <w:color w:val="555555"/>
          <w:sz w:val="18"/>
        </w:rPr>
        <w:t xml:space="preserve">eAkten-Verordnung Arbeitsgerichtsbarkeit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Übrigen bleiben die Aktenordnungen unberührt.</w:t>
      </w:r>
    </w:p>
    <w:p>
      <w:r>
        <w:rPr>
          <w:color w:val="555555"/>
          <w:sz w:val="17"/>
        </w:rPr>
        <w:t xml:space="preserve">Zitiervorschlag: § 5 eAktVO ArbG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https://recht.nulegal.eu/gesetze/eAktVO%20ArbG/5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