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eAktVO ArbG (Nordrhein-Westfalen) — Ersatzmaßnahmen</w:t>
      </w:r>
    </w:p>
    <w:p>
      <w:r>
        <w:rPr>
          <w:color w:val="555555"/>
          <w:sz w:val="18"/>
        </w:rPr>
        <w:t xml:space="preserve">eAkten-Verordnung Arbeitsgerichtsbarkeit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Im Falle anhaltender technischer Störungen beim Betrieb der elektronischen Akte kann die Gerichtsleitung des von den Störungen betroffenen Gerichts anordnen, dass eine Ersatzakte in Papierform geführt wird. Diese ist in die elektronische Form zu übertragen, sobald die Störung behoben ist.</w:t>
      </w:r>
    </w:p>
    <w:p>
      <w:r>
        <w:rPr>
          <w:color w:val="555555"/>
          <w:sz w:val="17"/>
        </w:rPr>
        <w:t xml:space="preserve">Zitiervorschlag: § 4 eAktVO ArbG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https://recht.nulegal.eu/gesetze/eAktVO%20ArbG/4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