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eAktV (Brandenburg) — Inkrafttreten, Außerkrafttreten</w:t>
      </w:r>
    </w:p>
    <w:p>
      <w:r>
        <w:rPr>
          <w:color w:val="555555"/>
          <w:sz w:val="18"/>
        </w:rPr>
        <w:t xml:space="preserve">elektronische-Akten-Verordnung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 Gleichzeitig tritt die elektronische-Akten-Verordnung vom 3. Januar 2019 (GVBl. II Nr. 2), die zuletzt durch die Verordnung vom 26. August 2022 (GVBl. II Nr. 54) geändert worden ist, außer Kraft.</w:t>
      </w:r>
    </w:p>
    <w:p>
      <w:r>
        <w:t xml:space="preserve">Potsdam, den 30. September 2022</w:t>
      </w:r>
    </w:p>
    <w:p>
      <w:r>
        <w:t xml:space="preserve">Die Ministerin der Justiz</w:t>
      </w:r>
    </w:p>
    <w:p>
      <w:r>
        <w:t xml:space="preserve">Susanne Hoffmann</w:t>
      </w:r>
    </w:p>
    <w:p>
      <w:r>
        <w:rPr>
          <w:color w:val="555555"/>
          <w:sz w:val="17"/>
        </w:rPr>
        <w:t xml:space="preserve">Zitiervorschlag: § 8 eAktV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