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eAktV (Brandenburg) — Barrierefreiheit</w:t>
      </w:r>
    </w:p>
    <w:p>
      <w:r>
        <w:rPr>
          <w:color w:val="555555"/>
          <w:sz w:val="18"/>
        </w:rPr>
        <w:t xml:space="preserve">elektronische-Akten-Verordnung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Elektronische Akten und Verfahren zur Führung und Bearbeitung von elektronischen Akten sollen technisch so gestaltet werden, dass sie, soweit technisch möglich, barrierefrei zugänglich sind.</w:t>
      </w:r>
    </w:p>
    <w:p>
      <w:r>
        <w:rPr>
          <w:color w:val="555555"/>
          <w:sz w:val="17"/>
        </w:rPr>
        <w:t xml:space="preserve">Zitiervorschlag: § 6 eAktV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