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eAktV (Brandenburg) — Bildung elektronischer Akten</w:t>
      </w:r>
    </w:p>
    <w:p>
      <w:r>
        <w:rPr>
          <w:color w:val="555555"/>
          <w:sz w:val="18"/>
        </w:rPr>
        <w:t xml:space="preserve">elektronische-Akten-Verordnung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Elektronische Dokumente sowie in Papierform beibehaltene Schriftstücke und sonstige Unterlagen gemäß § 3 Absatz 1 Satz 2, die dieselbe Angelegenheit betreffen, sind zu Akten zu vereinigen. Elektronische Dokumente sowie sonstige Dateien und Informationen gelten als zur Akte genommen, wenn sie bewusst und dauerhaft in der elektronischen Akte gespeichert worden sind. In der elektronischen Akte werden zur Akte gebrachte elektronische Dokumente einschließlich zugehöriger Signaturdateien sowie sonstige zur Akte gebrachte Dateien und Informationen gespeichert. Elektronische Empfangsbekenntnisse sowie elektronische Formulare, die als strukturierte maschinenlesbare Datensätze übermittelt worden sind, werden als Datensätze in der elektronischen Akte gespeichert.</w:t>
      </w:r>
    </w:p>
    <w:p>
      <w:r>
        <w:t xml:space="preserve">(2) Enthält eine elektronisch geführte Akte sowohl elektronische als auch in Papierform beibehaltene Bestandteile, so muss beim Zugriff auf jeden der Teile ein Hinweis auf den jeweils anderen Teil enthalten sein.</w:t>
      </w:r>
    </w:p>
    <w:p>
      <w:r>
        <w:t xml:space="preserve">(3) Elektronisch geführte Akten sind so zu strukturieren, dass sie die interne Bearbeitung sowie den Aktenaustausch unterstützen. Bei der elektronischen Aktenführung sind alle Daten vorzuhalten, die erforderlich sind, um den für die Übermittlung von elektronischen Akten vorgesehenen strukturierten maschinenlesbaren Datensatz im Format XML gemäß der jeweils anwendbaren technischen Anforderungen an die Übermittlung elektronischer Dokumente und Akten zu erzeugen und die Bearbeitung zu unterstützen.</w:t>
      </w:r>
    </w:p>
    <w:p>
      <w:r>
        <w:t xml:space="preserve">(4) Die nach Absatz 1 in der elektronischen Akte gespeicherten Inhalte müssen jederzeit zusätzlich als elektronische Dokumente im Format PDF/A wiedergegeben werden können; diese Dokumente bilden das Repräsentat. Das Repräsentat muss den gesamten zur Akte gebrachten Inhalt mit Ausnahme der nur für die Datenverarbeitung notwendigen Struktur-, Definitions- und Schemadateien wiedergeben. Soweit die Wiedergabe eines Inhalts technisch nicht möglich ist, ist ein entsprechender Hinweis in das Repräsentat aufzunehmen. Anstelle von Signaturdateien treten im Repräsentat Vermerke über das Ergebnis der Signaturprüfung. Das Repräsentat muss druckbar, kopierbar und, soweit technisch möglich, durchsuchbar sein. Die Seiten des Repräsentats sind so zu nummerieren, dass sie eindeutig zitiert werden können.</w:t>
      </w:r>
    </w:p>
    <w:p>
      <w:r>
        <w:rPr>
          <w:color w:val="555555"/>
          <w:sz w:val="17"/>
        </w:rPr>
        <w:t xml:space="preserve">Zitiervorschlag: § 2 eAktV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