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eAktFGV (Bayern)</w:t>
      </w:r>
    </w:p>
    <w:p>
      <w:r>
        <w:rPr>
          <w:color w:val="555555"/>
          <w:sz w:val="18"/>
        </w:rPr>
        <w:t xml:space="preserve">Finanzgerichtliche eAkten-Verordnung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29. Juli 2019</w:t>
      </w:r>
    </w:p>
    <w:p>
      <w:r>
        <w:t xml:space="preserve">Bayerisches Ministerium</w:t>
      </w:r>
    </w:p>
    <w:p>
      <w:r>
        <w:t xml:space="preserve">der Finanzen und für Heimat</w:t>
      </w:r>
    </w:p>
    <w:p>
      <w:r>
        <w:t xml:space="preserve">Albert Füracker, Staatsminister</w:t>
      </w:r>
    </w:p>
    <w:p>
      <w:r>
        <w:rPr>
          <w:color w:val="555555"/>
          <w:sz w:val="17"/>
        </w:rPr>
        <w:t xml:space="preserve">Zitiervorschlag: Volltext eAktFGV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https://recht.nulegal.eu/gesetze/eAktFGV/volltext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