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eAktFGV (Bayern)</w:t>
      </w:r>
    </w:p>
    <w:p>
      <w:r>
        <w:rPr>
          <w:color w:val="555555"/>
          <w:sz w:val="18"/>
        </w:rPr>
        <w:t xml:space="preserve">Finanzgerichtliche eAkten-Verordnung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des § 52b Abs. 1 Satz 2, 3 und 5 der Finanzgerichtsordnung (FGO) in der Fassung der Bekanntmachung vom 28. März 2001 (BGBl. I S. 442, S. 2262, I 2002 S. 679), die zuletzt durch Art. 5 Abs. 8 des Gesetzes vom 21. Juni 2019 (BGBl. I S. 846) geändert worden ist, in Verbindung mit § 4 Nr. 2 der Delegationsverordnung (DelV) vom 28. Januar 2014 (GVBl. S. 22, BayRS 103-2-V), die zuletzt durch § 1 Abs. 2 der Verordnung vom 26. März 2019 (GVBl. S. 98) geändert worden ist, verordnet das Bayerische Staatsministerium der Finanzen und für Heimat:</w:t>
      </w:r>
    </w:p>
    <w:p>
      <w:r>
        <w:rPr>
          <w:color w:val="555555"/>
          <w:sz w:val="17"/>
        </w:rPr>
        <w:t xml:space="preserve">Zitiervorschlag: Eingangsformel eAktFGV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https://recht.nulegal.eu/gesetze/eAktFGV/eingangsformel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