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DPMAWidVertrAnO — Inkrafttreten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des Dienstherrn bei Klagen von Beamtinnen und Beamten des Deutschen Patent- und Markenamts in Angelegenheiten des Reisekostenrechts</w:t>
      </w:r>
    </w:p>
    <w:p>
      <w:r>
        <w:rPr>
          <w:color w:val="555555"/>
          <w:sz w:val="18"/>
        </w:rPr>
        <w:t xml:space="preserve">Historische Fassung: Stand 10.06.2019 bis 22.04.2021. Dies ist nicht die aktuelle Fassung.</w:t>
      </w:r>
    </w:p>
    <w:p>
      <w:r>
        <w:t xml:space="preserve">Diese Anordnung tritt am Tag nach der Veröffentlichung im Bundesgesetzblatt in Kraft.</w:t>
      </w:r>
    </w:p>
    <w:p>
      <w:r>
        <w:rPr>
          <w:color w:val="555555"/>
          <w:sz w:val="17"/>
        </w:rPr>
        <w:t xml:space="preserve">Zitiervorschlag: § 4 DPMAWidVertrAnO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https://recht.nulegal.eu/gesetze/dpmawidvertrano--2015/4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