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DPMAWidVertrAnO — Übergangsregelung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Beamtinnen und Beamten des Deutschen Patent- und Markenamts in Angelegenheiten des Reisekostenrechts</w:t>
      </w:r>
    </w:p>
    <w:p>
      <w:r>
        <w:rPr>
          <w:color w:val="555555"/>
          <w:sz w:val="18"/>
        </w:rPr>
        <w:t xml:space="preserve">Historische Fassung: Stand 10.06.2019 bis 22.04.2021. Dies ist nicht die aktuelle Fassung.</w:t>
      </w:r>
    </w:p>
    <w:p>
      <w:r>
        <w:t xml:space="preserve">Die §§ 1 und 2 sind nicht auf Widersprüche und Klagen anzuwenden, die vor dem Inkrafttreten dieser Anordnung erhoben wurden.</w:t>
      </w:r>
    </w:p>
    <w:p>
      <w:r>
        <w:rPr>
          <w:color w:val="555555"/>
          <w:sz w:val="17"/>
        </w:rPr>
        <w:t xml:space="preserve">Zitiervorschlag: § 3 DPMAWidVertrAnO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https://recht.nulegal.eu/gesetze/dpmawidvertrano--2015/3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