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DPMAWidVertrAnO — Entscheidung über Widersprüche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Beamtinnen und Beamten des Deutschen Patent- und Markenamts in Angelegenheiten des Reisekostenrechts</w:t>
      </w:r>
    </w:p>
    <w:p>
      <w:r>
        <w:rPr>
          <w:color w:val="555555"/>
          <w:sz w:val="18"/>
        </w:rPr>
        <w:t xml:space="preserve">Historische Fassung: Stand 10.06.2019 bis 22.04.2021. Dies ist nicht die aktuelle Fassung.</w:t>
      </w:r>
    </w:p>
    <w:p>
      <w:r>
        <w:t xml:space="preserve">Dem Bundesverwaltungsamt wird die Befugnis übertragen, in Angelegenheiten des Reisekostenrechts über Widersprüche von Beamtinnen und Beamten des Deutschen Patent- und Markenamts zu entscheiden, soweit das Bundesverwaltungsamt die Maßnahme getroffen oder abgelehnt hat. Das Bundesministerium der Justiz und für Verbraucherschutz behält sich vor, im Einzelfall selbst zu entscheiden.</w:t>
      </w:r>
    </w:p>
    <w:p>
      <w:r>
        <w:rPr>
          <w:color w:val="555555"/>
          <w:sz w:val="17"/>
        </w:rPr>
        <w:t xml:space="preserve">Zitiervorschlag: § 1 DPMAWidVertrAnO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https://recht.nulegal.eu/gesetze/dpmawidvertrano--2015/1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