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Dig/PrintMedAusbV 2013 — Dauer der Berufsausbildung</w:t>
      </w:r>
    </w:p>
    <w:p>
      <w:r>
        <w:rPr>
          <w:color w:val="555555"/>
          <w:sz w:val="18"/>
        </w:rPr>
        <w:t xml:space="preserve">Verordnung über die Berufsausbildung zum Mediengestalter Digital und Print und zur Mediengestalterin Digital und Print</w:t>
      </w:r>
    </w:p>
    <w:p>
      <w:r>
        <w:rPr>
          <w:color w:val="555555"/>
          <w:sz w:val="18"/>
        </w:rPr>
        <w:t xml:space="preserve">Historische Fassung: Stand 10.06.2019 bis 01.08.2023. Dies ist nicht die aktuelle Fassung.</w:t>
      </w:r>
    </w:p>
    <w:p>
      <w:r>
        <w:t xml:space="preserve">Die Berufsausbildung dauert drei Jahre.</w:t>
      </w:r>
    </w:p>
    <w:p>
      <w:r>
        <w:rPr>
          <w:color w:val="555555"/>
          <w:sz w:val="17"/>
        </w:rPr>
        <w:t xml:space="preserve">Zitiervorschlag: § 2 Dig/PrintMedAusbV 2013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https://recht.nulegal.eu/gesetze/dig_printmedausbv_2013/2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