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Eingangsformel DaTraV</w:t>
      </w:r>
    </w:p>
    <w:p>
      <w:r>
        <w:rPr>
          <w:color w:val="555555"/>
          <w:sz w:val="18"/>
        </w:rPr>
        <w:t xml:space="preserve">Datentransparenzverordnung</w:t>
      </w:r>
    </w:p>
    <w:p>
      <w:r>
        <w:rPr>
          <w:color w:val="555555"/>
          <w:sz w:val="18"/>
        </w:rPr>
        <w:t xml:space="preserve">Historische Fassung: Stand 10.06.2019 bis 10.07.2020. Dies ist nicht die aktuelle Fassung.</w:t>
      </w:r>
    </w:p>
    <w:p>
      <w:r>
        <w:t xml:space="preserve">Auf Grund des § 303a Absatz 1 Satz 2, Absatz 2 und 3 Satz 2 des Fünften Buches Sozialgesetzbuch – Gesetzliche Krankenversicherung –, der durch Artikel 1 Nummer 83 des Gesetzes vom 22. Dezember 2011 (BGBl. I S. 2983) geändert worden ist, verordnet das Bundesministerium für Gesundheit:</w:t>
      </w:r>
    </w:p>
    <w:p>
      <w:r>
        <w:rPr>
          <w:color w:val="555555"/>
          <w:sz w:val="17"/>
        </w:rPr>
        <w:t xml:space="preserve">Zitiervorschlag: Eingangsformel DaTraV</w:t>
      </w:r>
    </w:p>
    <w:p>
      <w:r>
        <w:rPr>
          <w:color w:val="555555"/>
          <w:sz w:val="17"/>
        </w:rPr>
        <w:t xml:space="preserve">Quelle: Bundesamt für Justiz (Archivstand),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https://recht.nulegal.eu/gesetze/datrav--2012/eingangsformel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