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DaTraV — Inkrafttreten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10.06.2019 bis 10.07.2020.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DaTraV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https://recht.nulegal.eu/gesetze/datrav--2012/9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