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DaTraV — Verfahren und Umfang der Datenübermittlung durch das Bundesamt für Soziale Sicherung</w:t>
      </w:r>
    </w:p>
    <w:p>
      <w:r>
        <w:rPr>
          <w:color w:val="555555"/>
          <w:sz w:val="18"/>
        </w:rPr>
        <w:t xml:space="preserve">Datentransparenzverordnung</w:t>
      </w:r>
    </w:p>
    <w:p>
      <w:r>
        <w:rPr>
          <w:color w:val="555555"/>
          <w:sz w:val="18"/>
        </w:rPr>
        <w:t xml:space="preserve">Historische Fassung: Stand 18.01.2020 bis 10.07.2020. Dies ist nicht die aktuelle Fassung.</w:t>
      </w:r>
    </w:p>
    <w:p>
      <w:r>
        <w:t xml:space="preserve">(1) Das Bundesamt für Soziale Sicherung übermittelt der Datenaufbereitungsstelle jährlich nach Durchführung des korrigierten Jahresausgleichs die hierfür nach § 268 Absatz 3 Satz 14 in Verbindung mit Satz 1 Nummer 1 bis 7 des Fünften Buches Sozialgesetzbuch erhobenen und auf Vollständigkeit und Plausibilität geprüften Daten ohne die von den Krankenkassen übermittelten Pseudonyme für den in § 303d Absatz 1 Satz 1 des Fünften Buches Sozialgesetzbuch vorgesehenen Zweck.</w:t>
      </w:r>
    </w:p>
    <w:p>
      <w:r>
        <w:t xml:space="preserve">(2) Das Bundesamt für Soziale Sicherung übermittelt der Vertrauensstelle jährlich nach Durchführung des korrigierten Jahresausgleichs und nach Abschluss der Prüfung auf Vollständigkeit und Plausibilität der Daten eine Liste mit den zu den Daten nach Absatz 1 gehörenden von den Krankenkassen übermittelten Pseudonymen für den in § 303c Absatz 1 des Fünften Buches Sozialgesetzbuch vorgesehenen Zweck.</w:t>
      </w:r>
    </w:p>
    <w:p>
      <w:r>
        <w:t xml:space="preserve">(3) Das Nähere zu den Übermittlungen nach den Absätzen 1 und 2 vereinbaren die Datenaufbereitungsstelle, die Vertrauensstelle und das Bundesamt für Soziale Sicherung; zu Fragen des Datenschutzes und der Datensicherheit sind der Bundesbeauftragte für den Datenschutz und die Informationsfreiheit und das Bundesamt für Sicherheit in der Informationstechnik zu beteiligen.</w:t>
      </w:r>
    </w:p>
    <w:p>
      <w:r>
        <w:rPr>
          <w:color w:val="555555"/>
          <w:sz w:val="17"/>
        </w:rPr>
        <w:t xml:space="preserve">Zitiervorschlag: § 3 DaTraV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