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DaTraV — Anwendungsbereich</w:t>
      </w:r>
    </w:p>
    <w:p>
      <w:r>
        <w:rPr>
          <w:color w:val="555555"/>
          <w:sz w:val="18"/>
        </w:rPr>
        <w:t xml:space="preserve">Datentransparenzverordnung</w:t>
      </w:r>
    </w:p>
    <w:p>
      <w:r>
        <w:rPr>
          <w:color w:val="555555"/>
          <w:sz w:val="18"/>
        </w:rPr>
        <w:t xml:space="preserve">Historische Fassung: Stand 10.06.2019 bis 10.07.2020. Dies ist nicht die aktuelle Fassung.</w:t>
      </w:r>
    </w:p>
    <w:p>
      <w:r>
        <w:t xml:space="preserve">Die Verordnung regelt das Nähere zur Wahrnehmung, Durchführung und Finanzierung der Aufgaben der Datentransparenz nach den §§ 303a bis 303e des Fünften Buches Sozialgesetzbuch.</w:t>
      </w:r>
    </w:p>
    <w:p>
      <w:r>
        <w:rPr>
          <w:color w:val="555555"/>
          <w:sz w:val="17"/>
        </w:rPr>
        <w:t xml:space="preserve">Zitiervorschlag: § 1 DaTraV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https://recht.nulegal.eu/gesetze/datrav--2012/1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